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011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</w:t>
      </w:r>
      <w:r w:rsidR="00BC1189">
        <w:rPr>
          <w:rFonts w:ascii="Bookman Old Style" w:hAnsi="Bookman Old Style"/>
        </w:rPr>
        <w:t>6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</w:t>
      </w:r>
      <w:r w:rsidR="00BC1189">
        <w:rPr>
          <w:rFonts w:ascii="Bookman Old Style" w:hAnsi="Bookman Old Style"/>
        </w:rPr>
        <w:t>9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</w:t>
      </w:r>
      <w:r w:rsidR="00BC1189">
        <w:rPr>
          <w:sz w:val="24"/>
          <w:lang w:val="pt-BR"/>
        </w:rPr>
        <w:t>8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BC1189">
        <w:rPr>
          <w:sz w:val="24"/>
          <w:lang w:val="pt-BR"/>
        </w:rPr>
        <w:t>o fechamento de dois pontos da contenção existente entre o Arroio Sapucaia e a Avenida Beira Arroio.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2013-10-09T13:09:00Z</dcterms:created>
  <dcterms:modified xsi:type="dcterms:W3CDTF">2013-10-09T13:09:00Z</dcterms:modified>
</cp:coreProperties>
</file>