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E5F1D">
        <w:t>2</w:t>
      </w:r>
      <w:r w:rsidR="00793D5C">
        <w:t>89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01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93D5C">
        <w:rPr>
          <w:rFonts w:ascii="Times New Roman" w:hAnsi="Times New Roman"/>
          <w:sz w:val="24"/>
        </w:rPr>
        <w:t>31</w:t>
      </w:r>
      <w:r w:rsidR="00C052B2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793D5C">
        <w:rPr>
          <w:rFonts w:ascii="Times New Roman" w:hAnsi="Times New Roman"/>
          <w:sz w:val="24"/>
        </w:rPr>
        <w:t>a dedetização preventiva contra o mosquito da dengue, no final da Rua Cel. Theodomiro Porto da Fonseca e no Cemitério Dois  de Novembro.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604CAA"/>
    <w:rsid w:val="00627C85"/>
    <w:rsid w:val="0069555D"/>
    <w:rsid w:val="006B75AE"/>
    <w:rsid w:val="006C32A5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9E4777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D633F"/>
    <w:rsid w:val="00EE285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2015-03-20T16:15:00Z</cp:lastPrinted>
  <dcterms:created xsi:type="dcterms:W3CDTF">2015-04-01T21:13:00Z</dcterms:created>
  <dcterms:modified xsi:type="dcterms:W3CDTF">2015-04-01T21:13:00Z</dcterms:modified>
</cp:coreProperties>
</file>