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11873">
        <w:t>49</w:t>
      </w:r>
      <w:r w:rsidR="009F5B2E">
        <w:t>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591520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se digne a informar a esta Casa Legislativa, </w:t>
      </w:r>
      <w:r w:rsidR="009F5B2E">
        <w:rPr>
          <w:rFonts w:ascii="Times New Roman" w:hAnsi="Times New Roman"/>
          <w:sz w:val="24"/>
        </w:rPr>
        <w:t>se existe algum projeto a ser implantado no município em relação a ciclovia com integração entre pedestres, ciclistas e transporte público</w:t>
      </w:r>
      <w:r w:rsidR="00F11873">
        <w:rPr>
          <w:rFonts w:ascii="Times New Roman" w:hAnsi="Times New Roman"/>
          <w:sz w:val="24"/>
        </w:rPr>
        <w:t xml:space="preserve">. </w:t>
      </w:r>
    </w:p>
    <w:p w:rsidR="009F5B2E" w:rsidRDefault="009F5B2E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9F5B2E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1B75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1520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9F5B2E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4229E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2016-05-12T19:37:00Z</cp:lastPrinted>
  <dcterms:created xsi:type="dcterms:W3CDTF">2016-05-11T15:47:00Z</dcterms:created>
  <dcterms:modified xsi:type="dcterms:W3CDTF">2016-05-12T19:37:00Z</dcterms:modified>
</cp:coreProperties>
</file>