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0EA7">
        <w:t>35</w:t>
      </w:r>
      <w:r w:rsidR="003D4694">
        <w:t>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40EA7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40EA7">
        <w:rPr>
          <w:rFonts w:ascii="Times New Roman" w:hAnsi="Times New Roman"/>
          <w:sz w:val="24"/>
        </w:rPr>
        <w:t>21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9C264A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bookmarkStart w:id="0" w:name="_GoBack"/>
      <w:bookmarkEnd w:id="0"/>
      <w:r w:rsidR="003D4694">
        <w:rPr>
          <w:rFonts w:ascii="Times New Roman" w:hAnsi="Times New Roman"/>
          <w:sz w:val="24"/>
        </w:rPr>
        <w:t xml:space="preserve"> a manutenção de duas luminárias na Rua Rio Pardo, em frente ao número 278 e na esquina com a Rua das Nações. 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694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C264A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C244-C50C-48C2-B9AE-E281911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2017-03-08T17:22:00Z</cp:lastPrinted>
  <dcterms:created xsi:type="dcterms:W3CDTF">2017-03-22T13:38:00Z</dcterms:created>
  <dcterms:modified xsi:type="dcterms:W3CDTF">2017-03-23T19:05:00Z</dcterms:modified>
</cp:coreProperties>
</file>