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1444E">
        <w:rPr>
          <w:rFonts w:ascii="Times New Roman" w:hAnsi="Times New Roman"/>
          <w:sz w:val="24"/>
          <w:szCs w:val="24"/>
        </w:rPr>
        <w:t>1051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1444E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91444E">
        <w:rPr>
          <w:rFonts w:ascii="Times New Roman" w:hAnsi="Times New Roman"/>
          <w:sz w:val="24"/>
        </w:rPr>
        <w:t>envie para esta Casa um Projeto de Lei que estebeleça as atribuições dos cargos públicos criados na Lei 4.994, de 16 de novembro de 2009.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91444E">
        <w:rPr>
          <w:rFonts w:ascii="Times New Roman" w:hAnsi="Times New Roman"/>
          <w:sz w:val="24"/>
        </w:rPr>
        <w:t xml:space="preserve">a referida Lei n° 4.994/09 foi alterada por esta Casa com a extinção de aproximadamente 900 cargos públicos não nomeados, sem que tenha sido feita qualquer provocação pelos órgãos reguladores, tais como Ministério Público ou Tribunal de Contas. Porém, a única determinação judicial referente a essa Lei provém da Ação Direta de Inconstitucionalidade (ADIN), n° 70070225198, julgada em 31 de outubro de 2016, que determina que as atribuições dos cargos </w:t>
      </w:r>
      <w:proofErr w:type="gramStart"/>
      <w:r w:rsidR="0091444E">
        <w:rPr>
          <w:rFonts w:ascii="Times New Roman" w:hAnsi="Times New Roman"/>
          <w:sz w:val="24"/>
        </w:rPr>
        <w:t>devem</w:t>
      </w:r>
      <w:proofErr w:type="gramEnd"/>
      <w:r w:rsidR="0091444E">
        <w:rPr>
          <w:rFonts w:ascii="Times New Roman" w:hAnsi="Times New Roman"/>
          <w:sz w:val="24"/>
        </w:rPr>
        <w:t xml:space="preserve"> necessariamente ser regulamentada por Lei, uma vez que a Lei 4994/09 cria os cargos e sua classificação, porém não estabelece as suas atribuições no corpo do projeto e sim por meio de um decreto. Esta ADIN promovida pelo Ministério Público foi provocada por uma denúncia feita pelo então Vereador Leonardo Pascoal, hoje prefeito do Município</w:t>
      </w:r>
      <w:r w:rsidR="005B0AF1">
        <w:rPr>
          <w:rFonts w:ascii="Times New Roman" w:hAnsi="Times New Roman"/>
          <w:sz w:val="24"/>
        </w:rPr>
        <w:t>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91444E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1444E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B460-F00B-4F85-A09B-F18CD3FD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2017-08-25T16:36:00Z</dcterms:created>
  <dcterms:modified xsi:type="dcterms:W3CDTF">2017-08-25T16:36:00Z</dcterms:modified>
</cp:coreProperties>
</file>