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97DA8">
        <w:rPr>
          <w:rFonts w:ascii="Times New Roman" w:hAnsi="Times New Roman"/>
          <w:sz w:val="24"/>
          <w:szCs w:val="24"/>
        </w:rPr>
        <w:t>1339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97DA8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</w:t>
      </w:r>
      <w:r w:rsidR="00F97DA8">
        <w:rPr>
          <w:rFonts w:ascii="Times New Roman" w:hAnsi="Times New Roman"/>
          <w:sz w:val="24"/>
        </w:rPr>
        <w:t>para estudar medidas para impedir que os cães que vagam pelas ruas do condomínio Campos de Esteio e nas dependências do Parque Galvani Guedes ataquem as pessoas que realizam caminhadas nestes locais. É de conhecimento público os casos onde idosos tiveram algum tipo de problema relacionado a esse problema.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0D4CF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4CF6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D4CF6" w:rsidP="0094589C">
    <w:pPr>
      <w:pStyle w:val="Rodap"/>
      <w:spacing w:line="300" w:lineRule="atLeast"/>
      <w:rPr>
        <w:b/>
        <w:sz w:val="28"/>
        <w:szCs w:val="28"/>
      </w:rPr>
    </w:pPr>
    <w:r w:rsidRPr="000D4CF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D1F0-19B7-418F-A53B-CB6F5EDC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2017-10-25T15:35:00Z</dcterms:created>
  <dcterms:modified xsi:type="dcterms:W3CDTF">2017-10-25T15:39:00Z</dcterms:modified>
</cp:coreProperties>
</file>