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</w:t>
      </w:r>
      <w:r w:rsidR="00FB0F36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FB0F36">
        <w:rPr>
          <w:rFonts w:ascii="Times New Roman" w:hAnsi="Times New Roman"/>
          <w:sz w:val="24"/>
        </w:rPr>
        <w:t>a sinalização e colocação de placa “Pare” entre as Ruas Ieda Nunes de Azevedo e São Luiz, bairro Parque Amador</w:t>
      </w:r>
      <w:r w:rsidR="001B1B41">
        <w:rPr>
          <w:rFonts w:ascii="Times New Roman" w:hAnsi="Times New Roman"/>
          <w:sz w:val="24"/>
        </w:rPr>
        <w:t>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FC15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AB49943"/>
  <w15:docId w15:val="{08C28454-3B9A-43E5-B7B0-75D813E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662F-EAC7-406F-91F2-33BAF477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2017-05-24T17:08:00Z</cp:lastPrinted>
  <dcterms:created xsi:type="dcterms:W3CDTF">2018-01-31T12:00:00Z</dcterms:created>
  <dcterms:modified xsi:type="dcterms:W3CDTF">2018-01-31T12:00:00Z</dcterms:modified>
</cp:coreProperties>
</file>