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233C4">
        <w:rPr>
          <w:rFonts w:ascii="Times New Roman" w:hAnsi="Times New Roman"/>
          <w:sz w:val="24"/>
          <w:szCs w:val="24"/>
        </w:rPr>
        <w:t>44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233C4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233C4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>se digne a informar qual a situação do processo de regulamentação do loteamento da Rua Bruno Sperb.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233C4">
        <w:rPr>
          <w:rFonts w:ascii="Times New Roman" w:hAnsi="Times New Roman"/>
          <w:sz w:val="24"/>
        </w:rPr>
        <w:t>os moradores relatam que havia um processo de regulamentação, mas que foram perdidas as referências com a troca de gestão da Prefeitura de Esteio.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AA4F27">
        <w:rPr>
          <w:rFonts w:ascii="Times New Roman" w:hAnsi="Times New Roman"/>
          <w:sz w:val="24"/>
        </w:rPr>
        <w:t>informação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A4F27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4E0667CA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9D25-3B6D-416A-AC99-0FDB755B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2018-02-07T18:51:00Z</cp:lastPrinted>
  <dcterms:created xsi:type="dcterms:W3CDTF">2018-03-07T15:07:00Z</dcterms:created>
  <dcterms:modified xsi:type="dcterms:W3CDTF">2018-03-07T16:25:00Z</dcterms:modified>
</cp:coreProperties>
</file>