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1225D">
        <w:rPr>
          <w:rFonts w:ascii="Times New Roman" w:hAnsi="Times New Roman"/>
          <w:sz w:val="24"/>
          <w:szCs w:val="24"/>
        </w:rPr>
        <w:t>228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62EA9">
        <w:rPr>
          <w:rFonts w:ascii="Times New Roman" w:hAnsi="Times New Roman"/>
          <w:sz w:val="24"/>
          <w:szCs w:val="24"/>
          <w:lang w:val="pt-PT"/>
        </w:rPr>
        <w:t>28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C1225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</w:t>
      </w:r>
      <w:r w:rsidR="00145FD1">
        <w:rPr>
          <w:rFonts w:ascii="Times New Roman" w:hAnsi="Times New Roman"/>
          <w:sz w:val="24"/>
          <w:szCs w:val="24"/>
        </w:rPr>
        <w:t>Gilberto Moura da Silva,</w:t>
      </w:r>
    </w:p>
    <w:p w:rsidR="00715DE7" w:rsidRDefault="00145FD1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Geral da REFAP</w:t>
      </w:r>
      <w:bookmarkStart w:id="0" w:name="_GoBack"/>
      <w:bookmarkEnd w:id="0"/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C1225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Getúlio Vargas, 11001</w:t>
      </w:r>
      <w:r w:rsidR="00715D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Brigadeira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1225D" w:rsidRDefault="00C1225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Canoas-RS – 92420-221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C1225D">
        <w:rPr>
          <w:rFonts w:ascii="Times New Roman" w:hAnsi="Times New Roman"/>
          <w:sz w:val="24"/>
          <w:szCs w:val="24"/>
          <w:lang w:val="pt-PT"/>
        </w:rPr>
        <w:t>Diretor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BE0354">
        <w:rPr>
          <w:rFonts w:ascii="Times New Roman" w:hAnsi="Times New Roman"/>
          <w:sz w:val="24"/>
        </w:rPr>
        <w:t>7</w:t>
      </w:r>
      <w:r w:rsidR="008D46C1">
        <w:rPr>
          <w:rFonts w:ascii="Times New Roman" w:hAnsi="Times New Roman"/>
          <w:sz w:val="24"/>
        </w:rPr>
        <w:t xml:space="preserve"> de </w:t>
      </w:r>
      <w:r w:rsidR="00862EA9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C1225D">
        <w:rPr>
          <w:rFonts w:ascii="Times New Roman" w:hAnsi="Times New Roman"/>
          <w:sz w:val="24"/>
        </w:rPr>
        <w:t>os motivos da emissão de forte odor químico</w:t>
      </w:r>
      <w:r w:rsidR="00145FD1">
        <w:rPr>
          <w:rFonts w:ascii="Times New Roman" w:hAnsi="Times New Roman"/>
          <w:sz w:val="24"/>
        </w:rPr>
        <w:t xml:space="preserve"> emitido, principalmente nos dias 24 e 25 de março do corrente ano.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45FD1">
        <w:rPr>
          <w:rFonts w:ascii="Times New Roman" w:hAnsi="Times New Roman"/>
          <w:sz w:val="24"/>
        </w:rPr>
        <w:t>moradores reclamaram da emissão de um forte cheiro, talvez provocado por produtos químicos, provenientes da Refinaria Alberto Pasqualini, que provocaram enjôos, tonturas e crises respiratórias na comunidade do entorno.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82F8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45FD1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2BAC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33DD3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1225D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00F55F00"/>
  <w15:docId w15:val="{6578D6C7-88FD-4D84-B57F-1C8D8368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4301-1ECC-4905-81C6-A7CC6B12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2017-05-24T17:08:00Z</cp:lastPrinted>
  <dcterms:created xsi:type="dcterms:W3CDTF">2018-03-29T11:34:00Z</dcterms:created>
  <dcterms:modified xsi:type="dcterms:W3CDTF">2018-03-29T11:51:00Z</dcterms:modified>
</cp:coreProperties>
</file>